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970D5" w14:textId="00F4CB0C" w:rsidR="004737AB" w:rsidRDefault="00035F8B" w:rsidP="004737AB">
      <w:pPr>
        <w:autoSpaceDE w:val="0"/>
        <w:autoSpaceDN w:val="0"/>
        <w:adjustRightInd w:val="0"/>
        <w:spacing w:after="0" w:line="240" w:lineRule="auto"/>
        <w:rPr>
          <w:rFonts w:ascii="ProximaNova-Bold" w:hAnsi="ProximaNova-Bold" w:cs="ProximaNova-Bold"/>
          <w:b/>
          <w:bCs/>
          <w:color w:val="353744"/>
          <w:sz w:val="28"/>
          <w:szCs w:val="28"/>
        </w:rPr>
      </w:pPr>
      <w:r>
        <w:rPr>
          <w:noProof/>
        </w:rPr>
        <w:drawing>
          <wp:inline distT="0" distB="0" distL="0" distR="0" wp14:anchorId="1766C8D2" wp14:editId="3F66C5E9">
            <wp:extent cx="5943600" cy="86953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869535"/>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2976B3AA" wp14:editId="78D8F3C2">
                <wp:simplePos x="0" y="0"/>
                <wp:positionH relativeFrom="column">
                  <wp:posOffset>0</wp:posOffset>
                </wp:positionH>
                <wp:positionV relativeFrom="paragraph">
                  <wp:posOffset>200025</wp:posOffset>
                </wp:positionV>
                <wp:extent cx="5000625" cy="5048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000625" cy="5048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C786384" w14:textId="3574AFC9" w:rsidR="00035F8B" w:rsidRPr="008629D1" w:rsidRDefault="008629D1" w:rsidP="00035F8B">
                            <w:pPr>
                              <w:spacing w:after="0"/>
                              <w:rPr>
                                <w:rFonts w:ascii="Europa-Bold" w:hAnsi="Europa-Bold"/>
                                <w:color w:val="FFFFFF" w:themeColor="background1"/>
                                <w:sz w:val="40"/>
                                <w:szCs w:val="60"/>
                              </w:rPr>
                            </w:pPr>
                            <w:r w:rsidRPr="008629D1">
                              <w:rPr>
                                <w:rFonts w:ascii="Europa-Bold" w:hAnsi="Europa-Bold"/>
                                <w:color w:val="FFFFFF" w:themeColor="background1"/>
                                <w:sz w:val="40"/>
                                <w:szCs w:val="60"/>
                              </w:rPr>
                              <w:t>Louisiana Balance of State Continuum of Care</w:t>
                            </w:r>
                            <w:r w:rsidR="00035F8B" w:rsidRPr="008629D1">
                              <w:rPr>
                                <w:rFonts w:ascii="Europa-Bold" w:hAnsi="Europa-Bold"/>
                                <w:color w:val="FFFFFF" w:themeColor="background1"/>
                                <w:sz w:val="40"/>
                                <w:szCs w:val="6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76B3AA" id="_x0000_t202" coordsize="21600,21600" o:spt="202" path="m,l,21600r21600,l21600,xe">
                <v:stroke joinstyle="miter"/>
                <v:path gradientshapeok="t" o:connecttype="rect"/>
              </v:shapetype>
              <v:shape id="Text Box 2" o:spid="_x0000_s1026" type="#_x0000_t202" style="position:absolute;margin-left:0;margin-top:15.75pt;width:393.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" filled="f" stroked="f">
                <v:textbox>
                  <w:txbxContent>
                    <w:p w14:paraId="5C786384" w14:textId="3574AFC9" w:rsidR="00035F8B" w:rsidRPr="008629D1" w:rsidRDefault="008629D1" w:rsidP="00035F8B">
                      <w:pPr>
                        <w:spacing w:after="0"/>
                        <w:rPr>
                          <w:rFonts w:ascii="Europa-Bold" w:hAnsi="Europa-Bold"/>
                          <w:color w:val="FFFFFF" w:themeColor="background1"/>
                          <w:sz w:val="40"/>
                          <w:szCs w:val="60"/>
                        </w:rPr>
                      </w:pPr>
                      <w:r w:rsidRPr="008629D1">
                        <w:rPr>
                          <w:rFonts w:ascii="Europa-Bold" w:hAnsi="Europa-Bold"/>
                          <w:color w:val="FFFFFF" w:themeColor="background1"/>
                          <w:sz w:val="40"/>
                          <w:szCs w:val="60"/>
                        </w:rPr>
                        <w:t>Louisiana Balance of State Continuum of Care</w:t>
                      </w:r>
                      <w:r w:rsidR="00035F8B" w:rsidRPr="008629D1">
                        <w:rPr>
                          <w:rFonts w:ascii="Europa-Bold" w:hAnsi="Europa-Bold"/>
                          <w:color w:val="FFFFFF" w:themeColor="background1"/>
                          <w:sz w:val="40"/>
                          <w:szCs w:val="60"/>
                        </w:rPr>
                        <w:t xml:space="preserve">  </w:t>
                      </w:r>
                    </w:p>
                  </w:txbxContent>
                </v:textbox>
              </v:shape>
            </w:pict>
          </mc:Fallback>
        </mc:AlternateContent>
      </w:r>
    </w:p>
    <w:p w14:paraId="092AFE7B" w14:textId="77777777" w:rsidR="008629D1" w:rsidRDefault="008629D1" w:rsidP="00DB27B7">
      <w:pPr>
        <w:spacing w:after="0" w:line="276" w:lineRule="auto"/>
        <w:rPr>
          <w:color w:val="1B5632"/>
          <w:sz w:val="36"/>
          <w:szCs w:val="32"/>
        </w:rPr>
      </w:pPr>
      <w:r w:rsidRPr="008629D1">
        <w:rPr>
          <w:color w:val="1B5632"/>
          <w:sz w:val="36"/>
          <w:szCs w:val="32"/>
        </w:rPr>
        <w:t>C</w:t>
      </w:r>
      <w:r>
        <w:rPr>
          <w:color w:val="1B5632"/>
          <w:sz w:val="36"/>
          <w:szCs w:val="32"/>
        </w:rPr>
        <w:t>oordinated Entry Access Point</w:t>
      </w:r>
    </w:p>
    <w:p w14:paraId="12D5F899" w14:textId="10D56A88" w:rsidR="002E473F" w:rsidRPr="008629D1" w:rsidRDefault="008629D1" w:rsidP="00DB27B7">
      <w:pPr>
        <w:spacing w:after="0" w:line="276" w:lineRule="auto"/>
        <w:rPr>
          <w:color w:val="1B5632"/>
          <w:sz w:val="36"/>
          <w:szCs w:val="32"/>
        </w:rPr>
      </w:pPr>
      <w:r w:rsidRPr="008629D1">
        <w:rPr>
          <w:color w:val="1B5632"/>
          <w:sz w:val="36"/>
          <w:szCs w:val="32"/>
        </w:rPr>
        <w:t>Memorandum of Understanding</w:t>
      </w:r>
    </w:p>
    <w:p w14:paraId="20FD4FEB" w14:textId="49FA41ED" w:rsidR="006C74DE" w:rsidRDefault="006C74DE" w:rsidP="004737AB">
      <w:pPr>
        <w:pStyle w:val="Heading1"/>
      </w:pPr>
      <w:r>
        <w:t>Purpose</w:t>
      </w:r>
    </w:p>
    <w:p w14:paraId="77C8CE7C" w14:textId="354113F3" w:rsidR="006C74DE" w:rsidRDefault="006C74DE" w:rsidP="004737AB">
      <w:r>
        <w:t>This Memorandum of Understanding (MOU) establishes the terms and</w:t>
      </w:r>
      <w:r w:rsidR="00DC78E0">
        <w:t xml:space="preserve"> agreement under which</w:t>
      </w:r>
      <w:r w:rsidR="00162174">
        <w:t xml:space="preserve"> </w:t>
      </w:r>
      <w:r w:rsidR="00162174" w:rsidRPr="00DC2518">
        <w:rPr>
          <w:highlight w:val="yellow"/>
        </w:rPr>
        <w:t>[agency]</w:t>
      </w:r>
      <w:r w:rsidR="00341DF9">
        <w:t xml:space="preserve">, hereafter referred to as “the Provider,” </w:t>
      </w:r>
      <w:r>
        <w:t>will operate a Coordinated Entry Access Point (Access Point) as a part of the Louisiana Balance of State Continuum of Care (LA BOSCOC)’s Coordinated Entry System (CES).</w:t>
      </w:r>
    </w:p>
    <w:p w14:paraId="6DA675D0" w14:textId="77777777" w:rsidR="006C74DE" w:rsidRDefault="006C74DE" w:rsidP="004737AB">
      <w:pPr>
        <w:pStyle w:val="Heading1"/>
      </w:pPr>
      <w:r>
        <w:t>Background</w:t>
      </w:r>
    </w:p>
    <w:p w14:paraId="260295B0" w14:textId="1559BC00" w:rsidR="006C74DE" w:rsidRDefault="006C74DE" w:rsidP="004737AB">
      <w:r>
        <w:t xml:space="preserve">The LA BOSCOC is a coalition of people and organizations dedicated to ending homelessness. It serves more than 20 parishes </w:t>
      </w:r>
      <w:r w:rsidR="008629D1">
        <w:t xml:space="preserve">across </w:t>
      </w:r>
      <w:r>
        <w:t xml:space="preserve">the </w:t>
      </w:r>
      <w:r w:rsidR="008629D1">
        <w:t>s</w:t>
      </w:r>
      <w:r>
        <w:t xml:space="preserve">tate of Louisiana, including the cities of Baton Rouge, Lake Charles, and Houma, and those cities’ surrounding parishes. </w:t>
      </w:r>
    </w:p>
    <w:p w14:paraId="4C3554C8" w14:textId="56A49B1F" w:rsidR="006C74DE" w:rsidRDefault="006C74DE" w:rsidP="004737AB">
      <w:r>
        <w:t>The LA BOSCOC’s CES is designed to provide a coordinated community response to homelessness. Through the CES, people receive safe, confidential services</w:t>
      </w:r>
      <w:r w:rsidR="008629D1">
        <w:t xml:space="preserve"> to resolve episodes of homelessness</w:t>
      </w:r>
      <w:r>
        <w:t xml:space="preserve">, including access to housing and case management. </w:t>
      </w:r>
    </w:p>
    <w:p w14:paraId="35026050" w14:textId="37CD2D89" w:rsidR="006C74DE" w:rsidRDefault="006C74DE" w:rsidP="004737AB">
      <w:r>
        <w:t xml:space="preserve">Because </w:t>
      </w:r>
      <w:r w:rsidR="008629D1">
        <w:t>the LA BOSCOC’s homeless population</w:t>
      </w:r>
      <w:r>
        <w:t xml:space="preserve"> significantly exceeds </w:t>
      </w:r>
      <w:r w:rsidR="008629D1">
        <w:t>its resources</w:t>
      </w:r>
      <w:r>
        <w:t xml:space="preserve">, </w:t>
      </w:r>
      <w:r w:rsidR="00FF5F39">
        <w:t>the CES uses two strategies to ensure that each person is served to the maximum extent possible according to their needs:</w:t>
      </w:r>
    </w:p>
    <w:p w14:paraId="3735A6DE" w14:textId="77777777" w:rsidR="00FF5F39" w:rsidRDefault="00FF5F39" w:rsidP="004737AB">
      <w:pPr>
        <w:pStyle w:val="ListParagraph"/>
        <w:numPr>
          <w:ilvl w:val="0"/>
          <w:numId w:val="1"/>
        </w:numPr>
      </w:pPr>
      <w:r>
        <w:rPr>
          <w:b/>
        </w:rPr>
        <w:t xml:space="preserve">Resiliency-Based Engagement: </w:t>
      </w:r>
      <w:r>
        <w:t>the LA BOSCOC believes that each person’s most important resource for exiting homelessness is their own resiliency, including their existing support networks; as such, the CES</w:t>
      </w:r>
      <w:r w:rsidR="00341DF9">
        <w:t xml:space="preserve"> attempts to</w:t>
      </w:r>
      <w:r>
        <w:t xml:space="preserve"> serve each person with the ‘lightest touch’ intervention that might resolve their homelessness before </w:t>
      </w:r>
      <w:r w:rsidR="00341DF9">
        <w:t>escalating to</w:t>
      </w:r>
      <w:r>
        <w:t xml:space="preserve"> more intensive interventions;</w:t>
      </w:r>
    </w:p>
    <w:p w14:paraId="204F6945" w14:textId="77777777" w:rsidR="00E97283" w:rsidRDefault="00E97283" w:rsidP="004737AB">
      <w:pPr>
        <w:pStyle w:val="ListParagraph"/>
      </w:pPr>
    </w:p>
    <w:p w14:paraId="21862EA5" w14:textId="2FDA944C" w:rsidR="00FF5F39" w:rsidRDefault="00FF5F39" w:rsidP="004737AB">
      <w:pPr>
        <w:pStyle w:val="ListParagraph"/>
        <w:numPr>
          <w:ilvl w:val="0"/>
          <w:numId w:val="1"/>
        </w:numPr>
      </w:pPr>
      <w:r>
        <w:rPr>
          <w:b/>
        </w:rPr>
        <w:t xml:space="preserve">Needs-Based Triage: </w:t>
      </w:r>
      <w:r>
        <w:t>t</w:t>
      </w:r>
      <w:r w:rsidR="008629D1">
        <w:t>he LA BOSCOC uses</w:t>
      </w:r>
      <w:r>
        <w:t xml:space="preserve"> the Vulnerability Index – Service Prioritization Decision</w:t>
      </w:r>
      <w:r w:rsidR="00341DF9">
        <w:t xml:space="preserve"> Assistance Tool (VI-SPDAT) </w:t>
      </w:r>
      <w:r w:rsidR="008629D1">
        <w:t>to triage people for housing and services, prioritizing those with the most acute needs first</w:t>
      </w:r>
      <w:r w:rsidR="00341DF9">
        <w:t>.</w:t>
      </w:r>
    </w:p>
    <w:p w14:paraId="330F7097" w14:textId="04F45F8F" w:rsidR="00CB4637" w:rsidRDefault="00341DF9" w:rsidP="008629D1">
      <w:pPr>
        <w:rPr>
          <w:rFonts w:ascii="Times New Roman" w:hAnsi="Times New Roman" w:cs="Times New Roman"/>
          <w:color w:val="353744"/>
          <w:sz w:val="24"/>
          <w:szCs w:val="24"/>
        </w:rPr>
      </w:pPr>
      <w:r>
        <w:t xml:space="preserve">Access Points are a critical element of the CES. </w:t>
      </w:r>
      <w:r w:rsidR="008629D1">
        <w:t>T</w:t>
      </w:r>
      <w:r>
        <w:t>hey make initial contact with people experiencing homelessness, direct them to emergency resources, assist them in returning to housing using their own support networks, and triage them for housing and supportive services.</w:t>
      </w:r>
      <w:r w:rsidR="008629D1">
        <w:rPr>
          <w:rFonts w:ascii="Times New Roman" w:hAnsi="Times New Roman" w:cs="Times New Roman"/>
          <w:color w:val="353744"/>
          <w:sz w:val="24"/>
          <w:szCs w:val="24"/>
        </w:rPr>
        <w:t xml:space="preserve"> </w:t>
      </w:r>
    </w:p>
    <w:p w14:paraId="436F5474" w14:textId="751EE66D" w:rsidR="00CB4637" w:rsidRDefault="00341DF9" w:rsidP="004737AB">
      <w:pPr>
        <w:pStyle w:val="Heading1"/>
      </w:pPr>
      <w:r w:rsidRPr="004737AB">
        <w:t>Roles and Responsibilities</w:t>
      </w:r>
    </w:p>
    <w:p w14:paraId="28872835" w14:textId="2C55E780" w:rsidR="00341DF9" w:rsidRDefault="00341DF9" w:rsidP="004737AB">
      <w:r>
        <w:t>The LA BOSCOC</w:t>
      </w:r>
      <w:r w:rsidR="00E97283">
        <w:t xml:space="preserve"> </w:t>
      </w:r>
      <w:r w:rsidR="008629D1">
        <w:t>agrees to undertake and fulfill the following roles and responsibilities</w:t>
      </w:r>
      <w:r w:rsidR="00E97283">
        <w:t>:</w:t>
      </w:r>
    </w:p>
    <w:p w14:paraId="13979C12" w14:textId="53853D33" w:rsidR="00E97283" w:rsidRDefault="00341DF9" w:rsidP="00F10C8B">
      <w:pPr>
        <w:pStyle w:val="ListParagraph"/>
        <w:numPr>
          <w:ilvl w:val="0"/>
          <w:numId w:val="5"/>
        </w:numPr>
      </w:pPr>
      <w:r>
        <w:t xml:space="preserve">Grant the Provider a number of Homeless Management Information System (HMIS) user licenses; the number will be jointly determined by the LA BOSCOC and the Provider; the LA </w:t>
      </w:r>
      <w:r>
        <w:lastRenderedPageBreak/>
        <w:t>BOSCOC will make these user licenses available on an annual basis and at</w:t>
      </w:r>
      <w:r w:rsidR="00E97283">
        <w:t xml:space="preserve"> no cost to the Provider;</w:t>
      </w:r>
    </w:p>
    <w:p w14:paraId="3989B8C0" w14:textId="77777777" w:rsidR="00DC2518" w:rsidRPr="002E473F" w:rsidRDefault="00DC2518" w:rsidP="00DC2518">
      <w:pPr>
        <w:pStyle w:val="ListParagraph"/>
      </w:pPr>
    </w:p>
    <w:p w14:paraId="13A4A6E8" w14:textId="77777777" w:rsidR="00E97283" w:rsidRDefault="00341DF9" w:rsidP="004737AB">
      <w:pPr>
        <w:pStyle w:val="ListParagraph"/>
        <w:numPr>
          <w:ilvl w:val="0"/>
          <w:numId w:val="5"/>
        </w:numPr>
      </w:pPr>
      <w:r>
        <w:t xml:space="preserve">Provide </w:t>
      </w:r>
      <w:r w:rsidR="00E97283">
        <w:t xml:space="preserve">training and </w:t>
      </w:r>
      <w:r>
        <w:t>technical assistance as needed for the Provider to establish and operate their Access Point; the timing and structure of the technical assistance will be jointly determined by</w:t>
      </w:r>
      <w:r w:rsidR="00E97283">
        <w:t xml:space="preserve"> the LA BOSCOC and the Provider;</w:t>
      </w:r>
      <w:r w:rsidR="00E97283">
        <w:br/>
      </w:r>
    </w:p>
    <w:p w14:paraId="2EA3CE26" w14:textId="77777777" w:rsidR="00341DF9" w:rsidRDefault="00341DF9" w:rsidP="004737AB">
      <w:pPr>
        <w:pStyle w:val="ListParagraph"/>
        <w:numPr>
          <w:ilvl w:val="0"/>
          <w:numId w:val="5"/>
        </w:numPr>
      </w:pPr>
      <w:r>
        <w:t>Monitor the Provider’s Access Point to ensure it complies with the most recent version of the LA BOSCOC Coordinated Entry Policies and Procedures and t</w:t>
      </w:r>
      <w:r w:rsidR="00E97283">
        <w:t>hat it is providing high quality services to people experiencing homelessness; the LA BOSCOC will consult with the Provider to determine the timing of all monitoring, but will monitor the Provider at least once annually.</w:t>
      </w:r>
    </w:p>
    <w:p w14:paraId="71F75FF2" w14:textId="5EFB1F0D" w:rsidR="00E97283" w:rsidRDefault="008629D1" w:rsidP="004737AB">
      <w:r>
        <w:t>The Provider agrees to undertake and fulfill the following roles and responsibilities:</w:t>
      </w:r>
    </w:p>
    <w:p w14:paraId="5C856858" w14:textId="11F2EB1E" w:rsidR="00DC2518" w:rsidRDefault="00E97283" w:rsidP="00DC2518">
      <w:pPr>
        <w:pStyle w:val="ListParagraph"/>
        <w:numPr>
          <w:ilvl w:val="0"/>
          <w:numId w:val="6"/>
        </w:numPr>
      </w:pPr>
      <w:r>
        <w:t>Operate an Access Point</w:t>
      </w:r>
      <w:r w:rsidR="00DC78E0">
        <w:t xml:space="preserve"> in the following geographies: </w:t>
      </w:r>
      <w:r w:rsidR="00DC2518" w:rsidRPr="00DC2518">
        <w:rPr>
          <w:highlight w:val="yellow"/>
        </w:rPr>
        <w:t>[Region]</w:t>
      </w:r>
    </w:p>
    <w:p w14:paraId="48380968" w14:textId="77777777" w:rsidR="00E97283" w:rsidRDefault="00E97283" w:rsidP="004737AB">
      <w:pPr>
        <w:pStyle w:val="ListParagraph"/>
      </w:pPr>
    </w:p>
    <w:p w14:paraId="28CDC721" w14:textId="4F0C7D06" w:rsidR="00E97283" w:rsidRDefault="00E97283" w:rsidP="004737AB">
      <w:pPr>
        <w:pStyle w:val="ListParagraph"/>
        <w:numPr>
          <w:ilvl w:val="0"/>
          <w:numId w:val="6"/>
        </w:numPr>
      </w:pPr>
      <w:r>
        <w:t xml:space="preserve">Provide access to the CES via </w:t>
      </w:r>
      <w:r w:rsidRPr="00DC2518">
        <w:rPr>
          <w:highlight w:val="yellow"/>
        </w:rPr>
        <w:t xml:space="preserve">[street outreach and/or a stationary site located at </w:t>
      </w:r>
      <w:r w:rsidR="00DC2518" w:rsidRPr="00DC2518">
        <w:rPr>
          <w:highlight w:val="yellow"/>
        </w:rPr>
        <w:t>address]</w:t>
      </w:r>
      <w:r>
        <w:t>;</w:t>
      </w:r>
    </w:p>
    <w:p w14:paraId="6686693E" w14:textId="77777777" w:rsidR="00DC2518" w:rsidRDefault="00DC2518" w:rsidP="00DC2518">
      <w:pPr>
        <w:pStyle w:val="ListParagraph"/>
      </w:pPr>
    </w:p>
    <w:p w14:paraId="21E4659E" w14:textId="741B4485" w:rsidR="00DC2518" w:rsidRDefault="00DC2518" w:rsidP="004737AB">
      <w:pPr>
        <w:pStyle w:val="ListParagraph"/>
        <w:numPr>
          <w:ilvl w:val="0"/>
          <w:numId w:val="6"/>
        </w:numPr>
      </w:pPr>
      <w:r>
        <w:t xml:space="preserve">Provide CES services to the following population(s) of people experiencing homelessness: </w:t>
      </w:r>
      <w:r w:rsidRPr="00DC2518">
        <w:rPr>
          <w:highlight w:val="yellow"/>
        </w:rPr>
        <w:t>[EITHER “all people” OR specific allowable target populations, e.g. youth, veterans]</w:t>
      </w:r>
      <w:r>
        <w:t>;</w:t>
      </w:r>
    </w:p>
    <w:p w14:paraId="795D097D" w14:textId="77777777" w:rsidR="00E97283" w:rsidRDefault="00E97283" w:rsidP="004737AB">
      <w:pPr>
        <w:pStyle w:val="ListParagraph"/>
      </w:pPr>
    </w:p>
    <w:p w14:paraId="58FC5CCA" w14:textId="13BE8992" w:rsidR="00E97283" w:rsidRDefault="00E97283" w:rsidP="0062667F">
      <w:pPr>
        <w:pStyle w:val="ListParagraph"/>
        <w:numPr>
          <w:ilvl w:val="0"/>
          <w:numId w:val="6"/>
        </w:numPr>
      </w:pPr>
      <w:r>
        <w:t>Provide all services listed under the following</w:t>
      </w:r>
      <w:r w:rsidR="00F94BCA">
        <w:t xml:space="preserve"> CES</w:t>
      </w:r>
      <w:r>
        <w:t xml:space="preserve"> Components in the most recent version of the LA BOSCOC Coordinated Entry Policies and Procedures:</w:t>
      </w:r>
    </w:p>
    <w:p w14:paraId="648089A6" w14:textId="77777777" w:rsidR="00E97283" w:rsidRDefault="00E97283" w:rsidP="004737AB">
      <w:pPr>
        <w:pStyle w:val="ListParagraph"/>
        <w:numPr>
          <w:ilvl w:val="1"/>
          <w:numId w:val="6"/>
        </w:numPr>
      </w:pPr>
      <w:r>
        <w:rPr>
          <w:b/>
        </w:rPr>
        <w:t>Access,</w:t>
      </w:r>
      <w:r>
        <w:t xml:space="preserve"> which includes:</w:t>
      </w:r>
    </w:p>
    <w:p w14:paraId="322D898F" w14:textId="77777777" w:rsidR="00E97283" w:rsidRDefault="00E97283" w:rsidP="004737AB">
      <w:pPr>
        <w:pStyle w:val="ListParagraph"/>
        <w:numPr>
          <w:ilvl w:val="2"/>
          <w:numId w:val="6"/>
        </w:numPr>
      </w:pPr>
      <w:r>
        <w:t>Quickly determining whether a person is experiencing homelessness, and if so, according to which HUD definition;</w:t>
      </w:r>
    </w:p>
    <w:p w14:paraId="18030E24" w14:textId="77777777" w:rsidR="00E97283" w:rsidRDefault="00E97283" w:rsidP="004737AB">
      <w:pPr>
        <w:pStyle w:val="ListParagraph"/>
        <w:numPr>
          <w:ilvl w:val="2"/>
          <w:numId w:val="6"/>
        </w:numPr>
      </w:pPr>
      <w:r>
        <w:t>Referring people to emergency shelter or crisis housing as available;</w:t>
      </w:r>
    </w:p>
    <w:p w14:paraId="484230BA" w14:textId="77777777" w:rsidR="00E97283" w:rsidRDefault="00E97283" w:rsidP="004737AB">
      <w:pPr>
        <w:pStyle w:val="ListParagraph"/>
        <w:numPr>
          <w:ilvl w:val="2"/>
          <w:numId w:val="6"/>
        </w:numPr>
      </w:pPr>
      <w:r>
        <w:t>Entering each person’s information into HMIS or, if the Provider is a domestic violence service provider, into an HMIS-comparable database;</w:t>
      </w:r>
    </w:p>
    <w:p w14:paraId="2E542B82" w14:textId="77777777" w:rsidR="00E97283" w:rsidRDefault="00E97283" w:rsidP="004737AB">
      <w:pPr>
        <w:pStyle w:val="ListParagraph"/>
        <w:numPr>
          <w:ilvl w:val="1"/>
          <w:numId w:val="6"/>
        </w:numPr>
      </w:pPr>
      <w:r>
        <w:rPr>
          <w:b/>
        </w:rPr>
        <w:t xml:space="preserve">Diversion, </w:t>
      </w:r>
      <w:r>
        <w:t>which includes:</w:t>
      </w:r>
    </w:p>
    <w:p w14:paraId="6E15EF31" w14:textId="77777777" w:rsidR="00E97283" w:rsidRDefault="00E97283" w:rsidP="004737AB">
      <w:pPr>
        <w:pStyle w:val="ListParagraph"/>
        <w:numPr>
          <w:ilvl w:val="2"/>
          <w:numId w:val="6"/>
        </w:numPr>
      </w:pPr>
      <w:r>
        <w:t>Quickly assessing whether each person should be served with diversion case management;</w:t>
      </w:r>
    </w:p>
    <w:p w14:paraId="5A862A41" w14:textId="77777777" w:rsidR="00F94BCA" w:rsidRDefault="00F94BCA" w:rsidP="004737AB">
      <w:pPr>
        <w:pStyle w:val="ListParagraph"/>
        <w:numPr>
          <w:ilvl w:val="2"/>
          <w:numId w:val="6"/>
        </w:numPr>
      </w:pPr>
      <w:r>
        <w:t>Serving each person for whom it is appropriate with diversion case management;</w:t>
      </w:r>
    </w:p>
    <w:p w14:paraId="680FD867" w14:textId="77777777" w:rsidR="00F94BCA" w:rsidRDefault="00F94BCA" w:rsidP="004737AB">
      <w:pPr>
        <w:pStyle w:val="ListParagraph"/>
        <w:numPr>
          <w:ilvl w:val="1"/>
          <w:numId w:val="6"/>
        </w:numPr>
      </w:pPr>
      <w:r>
        <w:rPr>
          <w:b/>
        </w:rPr>
        <w:t xml:space="preserve">Intervention, </w:t>
      </w:r>
      <w:r>
        <w:t>which includes:</w:t>
      </w:r>
    </w:p>
    <w:p w14:paraId="42EDCAA0" w14:textId="77777777" w:rsidR="00F94BCA" w:rsidRDefault="00F94BCA" w:rsidP="004737AB">
      <w:pPr>
        <w:pStyle w:val="ListParagraph"/>
        <w:numPr>
          <w:ilvl w:val="2"/>
          <w:numId w:val="6"/>
        </w:numPr>
      </w:pPr>
      <w:r>
        <w:t>If they do not return to housing through Diversion: serving each person with intervention case management within 30 days of their first contact with the CES;</w:t>
      </w:r>
    </w:p>
    <w:p w14:paraId="3783227C" w14:textId="77777777" w:rsidR="00F94BCA" w:rsidRDefault="00F94BCA" w:rsidP="004737AB">
      <w:pPr>
        <w:pStyle w:val="ListParagraph"/>
        <w:numPr>
          <w:ilvl w:val="2"/>
          <w:numId w:val="6"/>
        </w:numPr>
      </w:pPr>
      <w:r>
        <w:t>Remaining in contact with each person to determine whether, 30 days after their first contact with the CES, they are still experiencing homelessness;</w:t>
      </w:r>
    </w:p>
    <w:p w14:paraId="3CCEB807" w14:textId="77777777" w:rsidR="00F94BCA" w:rsidRDefault="00F94BCA" w:rsidP="004737AB">
      <w:pPr>
        <w:pStyle w:val="ListParagraph"/>
        <w:numPr>
          <w:ilvl w:val="1"/>
          <w:numId w:val="6"/>
        </w:numPr>
      </w:pPr>
      <w:r>
        <w:rPr>
          <w:b/>
        </w:rPr>
        <w:t xml:space="preserve">Assessment, </w:t>
      </w:r>
      <w:r>
        <w:t>which includes:</w:t>
      </w:r>
    </w:p>
    <w:p w14:paraId="6176BB3C" w14:textId="77777777" w:rsidR="00F94BCA" w:rsidRDefault="00F94BCA" w:rsidP="004737AB">
      <w:pPr>
        <w:pStyle w:val="ListParagraph"/>
        <w:numPr>
          <w:ilvl w:val="2"/>
          <w:numId w:val="6"/>
        </w:numPr>
      </w:pPr>
      <w:r>
        <w:t>For all people who have received at least one instance of intervention case management AND whose first contact with the CES was more than 30 days ago: using the VI-SPDAT triage tool to determine each person’s level of need;</w:t>
      </w:r>
    </w:p>
    <w:p w14:paraId="22F9CCB5" w14:textId="77777777" w:rsidR="00F94BCA" w:rsidRDefault="00F94BCA" w:rsidP="004737AB">
      <w:pPr>
        <w:pStyle w:val="ListParagraph"/>
        <w:numPr>
          <w:ilvl w:val="2"/>
          <w:numId w:val="6"/>
        </w:numPr>
      </w:pPr>
      <w:r>
        <w:t>Entering each person’s VI-SPDAT score and all other required information into HMIS or, if the Provider is a domestic violence service provider, an HMIS-comparable database;</w:t>
      </w:r>
    </w:p>
    <w:p w14:paraId="642F0269" w14:textId="77777777" w:rsidR="00F94BCA" w:rsidRDefault="00F94BCA" w:rsidP="004737AB">
      <w:pPr>
        <w:pStyle w:val="ListParagraph"/>
        <w:numPr>
          <w:ilvl w:val="2"/>
          <w:numId w:val="6"/>
        </w:numPr>
      </w:pPr>
      <w:r>
        <w:lastRenderedPageBreak/>
        <w:t>If the Provider is a domestic violence services provider: referring each person who completes the VI-SPDAT to the Prioritization List via the method prescribed by the LA BOSCOC.</w:t>
      </w:r>
    </w:p>
    <w:p w14:paraId="7A7C5AFF" w14:textId="77777777" w:rsidR="00F94BCA" w:rsidRDefault="00F94BCA" w:rsidP="004737AB">
      <w:r>
        <w:t xml:space="preserve">The above descriptions of each CES Component are a summary; additional information and requirements are located in the most recent version of the LA BOSCOC Policies and Procedures, which can be found on the LA BOSCOC’s website: </w:t>
      </w:r>
      <w:hyperlink r:id="rId9" w:history="1">
        <w:r>
          <w:rPr>
            <w:rStyle w:val="Hyperlink"/>
          </w:rPr>
          <w:t>https://laboscoc.org/policies-and-procedures</w:t>
        </w:r>
      </w:hyperlink>
    </w:p>
    <w:p w14:paraId="0FBBD536" w14:textId="77777777" w:rsidR="009E7EC0" w:rsidRDefault="009E7EC0" w:rsidP="004737AB">
      <w:pPr>
        <w:pStyle w:val="Heading1"/>
      </w:pPr>
      <w:r>
        <w:t>Costs</w:t>
      </w:r>
    </w:p>
    <w:p w14:paraId="33EF33BD" w14:textId="45932176" w:rsidR="009E7EC0" w:rsidRPr="004737AB" w:rsidRDefault="008629D1" w:rsidP="004737AB">
      <w:r>
        <w:t>The Provider assumes a</w:t>
      </w:r>
      <w:r w:rsidR="009E7EC0">
        <w:t xml:space="preserve">ll costs associated with operating an Access Point </w:t>
      </w:r>
      <w:r>
        <w:t>except the cost of HMIS user licenses provided by the LA BOSCOC as a function of this MOU</w:t>
      </w:r>
      <w:r w:rsidR="009E7EC0">
        <w:t>.</w:t>
      </w:r>
    </w:p>
    <w:p w14:paraId="21FADAA1" w14:textId="77777777" w:rsidR="00F94BCA" w:rsidRDefault="00F94BCA" w:rsidP="004737AB">
      <w:pPr>
        <w:pStyle w:val="Heading1"/>
      </w:pPr>
      <w:r>
        <w:t>Termination</w:t>
      </w:r>
    </w:p>
    <w:p w14:paraId="2FA21D0B" w14:textId="77777777" w:rsidR="00F94BCA" w:rsidRDefault="00F94BCA" w:rsidP="004737AB">
      <w:r>
        <w:t>Either party may terminate their participation in this MOU by providing the other party with written notification via postal mail at the addresses below:</w:t>
      </w:r>
    </w:p>
    <w:p w14:paraId="7940FE91" w14:textId="77777777" w:rsidR="00F94BCA" w:rsidRDefault="00F94BCA" w:rsidP="004737AB">
      <w:pPr>
        <w:ind w:left="720"/>
      </w:pPr>
      <w:r>
        <w:rPr>
          <w:b/>
        </w:rPr>
        <w:t>LA BOSCOC:</w:t>
      </w:r>
      <w:r>
        <w:rPr>
          <w:b/>
        </w:rPr>
        <w:br/>
      </w:r>
      <w:r>
        <w:t>Continuum of Care Manager</w:t>
      </w:r>
      <w:r>
        <w:br/>
        <w:t>Louisiana Housing Corporation</w:t>
      </w:r>
      <w:r>
        <w:br/>
        <w:t>1690 N. Boulevard 2</w:t>
      </w:r>
      <w:r w:rsidRPr="004737AB">
        <w:rPr>
          <w:vertAlign w:val="superscript"/>
        </w:rPr>
        <w:t>nd</w:t>
      </w:r>
      <w:r>
        <w:t xml:space="preserve"> Floor</w:t>
      </w:r>
      <w:r>
        <w:br/>
        <w:t>Baton Rouge, LA 70802</w:t>
      </w:r>
    </w:p>
    <w:p w14:paraId="4D72FD22" w14:textId="77777777" w:rsidR="00F94BCA" w:rsidRDefault="00F94BCA" w:rsidP="004737AB">
      <w:pPr>
        <w:ind w:left="720"/>
      </w:pPr>
      <w:r>
        <w:rPr>
          <w:b/>
        </w:rPr>
        <w:t>The Provider:</w:t>
      </w:r>
      <w:r>
        <w:rPr>
          <w:b/>
        </w:rPr>
        <w:br/>
      </w:r>
      <w:r w:rsidRPr="00DC2518">
        <w:rPr>
          <w:highlight w:val="yellow"/>
        </w:rPr>
        <w:t>[address]</w:t>
      </w:r>
    </w:p>
    <w:p w14:paraId="4F65CFF3" w14:textId="77777777" w:rsidR="009E7EC0" w:rsidRDefault="00F94BCA" w:rsidP="004737AB">
      <w:r>
        <w:t>The written notice must</w:t>
      </w:r>
      <w:r w:rsidR="009E7EC0">
        <w:t xml:space="preserve"> be dated and must</w:t>
      </w:r>
      <w:r>
        <w:t xml:space="preserve"> include a termination date. The termination date cannot be less than 30 days from the date of the written notice.</w:t>
      </w:r>
    </w:p>
    <w:p w14:paraId="0FE78BE0" w14:textId="77777777" w:rsidR="009E7EC0" w:rsidRDefault="009E7EC0" w:rsidP="004737AB">
      <w:r>
        <w:t>Certain funding sources and grant agreements may require the Provider to operate an Access Point. The requirements of those funding sources and grant agreements cannot be terminated by terminating this MOU. Terminating this MOU may negatively impact the Provider’s compliance with those requirements, as applicable.</w:t>
      </w:r>
    </w:p>
    <w:p w14:paraId="40EDC7BF" w14:textId="77777777" w:rsidR="009E7EC0" w:rsidRDefault="009E7EC0" w:rsidP="004737AB">
      <w:pPr>
        <w:pStyle w:val="Heading1"/>
      </w:pPr>
      <w:r>
        <w:t>Agreement</w:t>
      </w:r>
    </w:p>
    <w:p w14:paraId="61DC8D80" w14:textId="3DA3BF9B" w:rsidR="009E7EC0" w:rsidRDefault="009E7EC0">
      <w:pPr>
        <w:rPr>
          <w:rFonts w:ascii="Times New Roman" w:hAnsi="Times New Roman" w:cs="Times New Roman"/>
          <w:b/>
          <w:bCs/>
          <w:color w:val="353744"/>
          <w:sz w:val="24"/>
          <w:szCs w:val="24"/>
        </w:rPr>
      </w:pPr>
      <w:r>
        <w:t>By signing this agreement, I understand and agree to the terms of this MOU on behalf of my organization.</w:t>
      </w:r>
      <w:r w:rsidR="008629D1">
        <w:t xml:space="preserve"> This MOU is effective as of the date on which all parties have signed.</w:t>
      </w:r>
    </w:p>
    <w:p w14:paraId="1D6181BC" w14:textId="03235C5D" w:rsidR="008629D1" w:rsidRDefault="008629D1"/>
    <w:p w14:paraId="4C3B48DB" w14:textId="034D2E36" w:rsidR="008629D1" w:rsidRDefault="008629D1">
      <w:r>
        <w:t>_____________________________________</w:t>
      </w:r>
      <w:r>
        <w:tab/>
        <w:t>_________________</w:t>
      </w:r>
      <w:r>
        <w:br/>
      </w:r>
      <w:r>
        <w:rPr>
          <w:i/>
        </w:rPr>
        <w:t>Signature</w:t>
      </w:r>
      <w:r>
        <w:rPr>
          <w:i/>
        </w:rPr>
        <w:tab/>
      </w:r>
      <w:r>
        <w:rPr>
          <w:i/>
        </w:rPr>
        <w:tab/>
      </w:r>
      <w:r>
        <w:rPr>
          <w:i/>
        </w:rPr>
        <w:tab/>
        <w:t xml:space="preserve">               </w:t>
      </w:r>
      <w:r>
        <w:rPr>
          <w:i/>
        </w:rPr>
        <w:tab/>
        <w:t>Date</w:t>
      </w:r>
      <w:r>
        <w:rPr>
          <w:i/>
        </w:rPr>
        <w:tab/>
      </w:r>
      <w:r>
        <w:rPr>
          <w:i/>
        </w:rPr>
        <w:tab/>
      </w:r>
      <w:r>
        <w:br/>
      </w:r>
      <w:r w:rsidRPr="00DC2518">
        <w:rPr>
          <w:highlight w:val="yellow"/>
        </w:rPr>
        <w:t>[Provider Signatory]</w:t>
      </w:r>
      <w:r w:rsidRPr="00DC2518">
        <w:rPr>
          <w:highlight w:val="yellow"/>
        </w:rPr>
        <w:br/>
        <w:t>[Organization]</w:t>
      </w:r>
      <w:bookmarkStart w:id="0" w:name="_GoBack"/>
      <w:bookmarkEnd w:id="0"/>
    </w:p>
    <w:p w14:paraId="032C88F6" w14:textId="304381BE" w:rsidR="008629D1" w:rsidRDefault="008629D1"/>
    <w:p w14:paraId="28D518C9" w14:textId="77777777" w:rsidR="000A5B56" w:rsidRDefault="000A5B56"/>
    <w:p w14:paraId="652D6454" w14:textId="249E961E" w:rsidR="00DE0BAF" w:rsidRDefault="009E7EC0">
      <w:r>
        <w:lastRenderedPageBreak/>
        <w:t>_____________________________________</w:t>
      </w:r>
      <w:r w:rsidR="008629D1">
        <w:tab/>
        <w:t>_________________</w:t>
      </w:r>
      <w:r>
        <w:br/>
      </w:r>
      <w:r w:rsidR="008629D1">
        <w:rPr>
          <w:i/>
        </w:rPr>
        <w:t>Signature</w:t>
      </w:r>
      <w:r w:rsidR="008629D1">
        <w:rPr>
          <w:i/>
        </w:rPr>
        <w:tab/>
      </w:r>
      <w:r w:rsidR="008629D1">
        <w:rPr>
          <w:i/>
        </w:rPr>
        <w:tab/>
      </w:r>
      <w:r w:rsidR="008629D1">
        <w:rPr>
          <w:i/>
        </w:rPr>
        <w:tab/>
        <w:t xml:space="preserve">               </w:t>
      </w:r>
      <w:r w:rsidR="008629D1">
        <w:rPr>
          <w:i/>
        </w:rPr>
        <w:tab/>
        <w:t>Date</w:t>
      </w:r>
      <w:r>
        <w:rPr>
          <w:i/>
        </w:rPr>
        <w:tab/>
      </w:r>
      <w:r>
        <w:rPr>
          <w:i/>
        </w:rPr>
        <w:tab/>
      </w:r>
      <w:r>
        <w:br/>
        <w:t>Winona Connor, Board Chair</w:t>
      </w:r>
      <w:r>
        <w:br/>
        <w:t>Louisiana Balance of State Continuum of Care</w:t>
      </w:r>
      <w:r>
        <w:br/>
      </w:r>
      <w:r w:rsidR="005731DF">
        <w:t xml:space="preserve"> </w:t>
      </w:r>
    </w:p>
    <w:p w14:paraId="67FCAFD9" w14:textId="77777777" w:rsidR="002E473F" w:rsidRDefault="002E473F"/>
    <w:p w14:paraId="6A6409FA" w14:textId="77777777" w:rsidR="002E473F" w:rsidRDefault="002E473F"/>
    <w:p w14:paraId="2C9612FF" w14:textId="0DEB7DBA" w:rsidR="002E473F" w:rsidRPr="002E473F" w:rsidRDefault="002E473F" w:rsidP="002E473F">
      <w:pPr>
        <w:jc w:val="right"/>
        <w:rPr>
          <w:i/>
        </w:rPr>
      </w:pPr>
      <w:r w:rsidRPr="002E473F">
        <w:rPr>
          <w:i/>
        </w:rPr>
        <w:t>Version 1.0</w:t>
      </w:r>
      <w:r w:rsidRPr="002E473F">
        <w:rPr>
          <w:i/>
        </w:rPr>
        <w:br/>
        <w:t xml:space="preserve">Released </w:t>
      </w:r>
      <w:r>
        <w:rPr>
          <w:i/>
        </w:rPr>
        <w:t>June 7, 2019</w:t>
      </w:r>
    </w:p>
    <w:sectPr w:rsidR="002E473F" w:rsidRPr="002E473F" w:rsidSect="00AF338A">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B408C" w14:textId="77777777" w:rsidR="00D730F2" w:rsidRDefault="00D730F2" w:rsidP="00300D91">
      <w:pPr>
        <w:spacing w:after="0" w:line="240" w:lineRule="auto"/>
      </w:pPr>
      <w:r>
        <w:separator/>
      </w:r>
    </w:p>
  </w:endnote>
  <w:endnote w:type="continuationSeparator" w:id="0">
    <w:p w14:paraId="042B96DB" w14:textId="77777777" w:rsidR="00D730F2" w:rsidRDefault="00D730F2" w:rsidP="00300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roximaNova-Bold">
    <w:panose1 w:val="00000000000000000000"/>
    <w:charset w:val="00"/>
    <w:family w:val="auto"/>
    <w:notTrueType/>
    <w:pitch w:val="default"/>
    <w:sig w:usb0="00000003" w:usb1="00000000" w:usb2="00000000" w:usb3="00000000" w:csb0="00000001" w:csb1="00000000"/>
  </w:font>
  <w:font w:name="Europa-Bold">
    <w:altName w:val="Times New Roman"/>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512772"/>
      <w:docPartObj>
        <w:docPartGallery w:val="Page Numbers (Bottom of Page)"/>
        <w:docPartUnique/>
      </w:docPartObj>
    </w:sdtPr>
    <w:sdtEndPr/>
    <w:sdtContent>
      <w:sdt>
        <w:sdtPr>
          <w:id w:val="-1769616900"/>
          <w:docPartObj>
            <w:docPartGallery w:val="Page Numbers (Top of Page)"/>
            <w:docPartUnique/>
          </w:docPartObj>
        </w:sdtPr>
        <w:sdtEndPr/>
        <w:sdtContent>
          <w:p w14:paraId="2941B8E5" w14:textId="1F19F94B" w:rsidR="002E473F" w:rsidRDefault="008629D1">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DC251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C2518">
              <w:rPr>
                <w:b/>
                <w:bCs/>
                <w:noProof/>
              </w:rPr>
              <w:t>4</w:t>
            </w:r>
            <w:r>
              <w:rPr>
                <w:b/>
                <w:bCs/>
                <w:sz w:val="24"/>
                <w:szCs w:val="24"/>
              </w:rPr>
              <w:fldChar w:fldCharType="end"/>
            </w:r>
          </w:p>
          <w:p w14:paraId="5D219F66" w14:textId="56740190" w:rsidR="002E473F" w:rsidRPr="002E473F" w:rsidRDefault="002E473F">
            <w:pPr>
              <w:pStyle w:val="Footer"/>
              <w:jc w:val="right"/>
              <w:rPr>
                <w:bCs/>
                <w:sz w:val="24"/>
                <w:szCs w:val="24"/>
              </w:rPr>
            </w:pPr>
          </w:p>
          <w:p w14:paraId="0BC5B24F" w14:textId="2569F199" w:rsidR="008629D1" w:rsidRDefault="00DC2518">
            <w:pPr>
              <w:pStyle w:val="Footer"/>
              <w:jc w:val="right"/>
            </w:pPr>
          </w:p>
        </w:sdtContent>
      </w:sdt>
    </w:sdtContent>
  </w:sdt>
  <w:p w14:paraId="29A552C2" w14:textId="77777777" w:rsidR="00300D91" w:rsidRDefault="00300D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88B42" w14:textId="77777777" w:rsidR="00D730F2" w:rsidRDefault="00D730F2" w:rsidP="00300D91">
      <w:pPr>
        <w:spacing w:after="0" w:line="240" w:lineRule="auto"/>
      </w:pPr>
      <w:r>
        <w:separator/>
      </w:r>
    </w:p>
  </w:footnote>
  <w:footnote w:type="continuationSeparator" w:id="0">
    <w:p w14:paraId="3C86649F" w14:textId="77777777" w:rsidR="00D730F2" w:rsidRDefault="00D730F2" w:rsidP="00300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72AA5"/>
    <w:multiLevelType w:val="hybridMultilevel"/>
    <w:tmpl w:val="25CA1F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A3A4B"/>
    <w:multiLevelType w:val="hybridMultilevel"/>
    <w:tmpl w:val="25CA1F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C96901"/>
    <w:multiLevelType w:val="hybridMultilevel"/>
    <w:tmpl w:val="2ADE0D4E"/>
    <w:lvl w:ilvl="0" w:tplc="CDAE30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E03D43"/>
    <w:multiLevelType w:val="hybridMultilevel"/>
    <w:tmpl w:val="25CA1F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9D1715"/>
    <w:multiLevelType w:val="hybridMultilevel"/>
    <w:tmpl w:val="6C149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5A4498"/>
    <w:multiLevelType w:val="hybridMultilevel"/>
    <w:tmpl w:val="7F601DB6"/>
    <w:lvl w:ilvl="0" w:tplc="CDAE30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37"/>
    <w:rsid w:val="00035F8B"/>
    <w:rsid w:val="000425B4"/>
    <w:rsid w:val="000A5B56"/>
    <w:rsid w:val="00140D20"/>
    <w:rsid w:val="00162174"/>
    <w:rsid w:val="001F1611"/>
    <w:rsid w:val="002A7699"/>
    <w:rsid w:val="002E473F"/>
    <w:rsid w:val="00300D91"/>
    <w:rsid w:val="00341DF9"/>
    <w:rsid w:val="004054C2"/>
    <w:rsid w:val="00466DBD"/>
    <w:rsid w:val="004737AB"/>
    <w:rsid w:val="005731DF"/>
    <w:rsid w:val="006C74DE"/>
    <w:rsid w:val="008629D1"/>
    <w:rsid w:val="009E7EC0"/>
    <w:rsid w:val="00A356BD"/>
    <w:rsid w:val="00AC0426"/>
    <w:rsid w:val="00AF338A"/>
    <w:rsid w:val="00BA4586"/>
    <w:rsid w:val="00C21349"/>
    <w:rsid w:val="00C97B81"/>
    <w:rsid w:val="00CB4637"/>
    <w:rsid w:val="00CE47B3"/>
    <w:rsid w:val="00D36458"/>
    <w:rsid w:val="00D402D2"/>
    <w:rsid w:val="00D730F2"/>
    <w:rsid w:val="00D95F7C"/>
    <w:rsid w:val="00DB27B7"/>
    <w:rsid w:val="00DC2518"/>
    <w:rsid w:val="00DC78E0"/>
    <w:rsid w:val="00DE0BAF"/>
    <w:rsid w:val="00E97283"/>
    <w:rsid w:val="00F94BCA"/>
    <w:rsid w:val="00FF5F39"/>
    <w:rsid w:val="00FF6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B5B119"/>
  <w15:chartTrackingRefBased/>
  <w15:docId w15:val="{C0C8A692-29FA-40E1-8B8C-FB5539F7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74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1D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D91"/>
  </w:style>
  <w:style w:type="paragraph" w:styleId="Footer">
    <w:name w:val="footer"/>
    <w:basedOn w:val="Normal"/>
    <w:link w:val="FooterChar"/>
    <w:uiPriority w:val="99"/>
    <w:unhideWhenUsed/>
    <w:rsid w:val="0030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D91"/>
  </w:style>
  <w:style w:type="paragraph" w:styleId="ListParagraph">
    <w:name w:val="List Paragraph"/>
    <w:basedOn w:val="Normal"/>
    <w:uiPriority w:val="34"/>
    <w:qFormat/>
    <w:rsid w:val="00C97B81"/>
    <w:pPr>
      <w:ind w:left="720"/>
      <w:contextualSpacing/>
    </w:pPr>
  </w:style>
  <w:style w:type="character" w:styleId="CommentReference">
    <w:name w:val="annotation reference"/>
    <w:basedOn w:val="DefaultParagraphFont"/>
    <w:uiPriority w:val="99"/>
    <w:semiHidden/>
    <w:unhideWhenUsed/>
    <w:rsid w:val="006C74DE"/>
    <w:rPr>
      <w:sz w:val="16"/>
      <w:szCs w:val="16"/>
    </w:rPr>
  </w:style>
  <w:style w:type="paragraph" w:styleId="CommentText">
    <w:name w:val="annotation text"/>
    <w:basedOn w:val="Normal"/>
    <w:link w:val="CommentTextChar"/>
    <w:uiPriority w:val="99"/>
    <w:semiHidden/>
    <w:unhideWhenUsed/>
    <w:rsid w:val="006C74DE"/>
    <w:pPr>
      <w:spacing w:line="240" w:lineRule="auto"/>
    </w:pPr>
    <w:rPr>
      <w:sz w:val="20"/>
      <w:szCs w:val="20"/>
    </w:rPr>
  </w:style>
  <w:style w:type="character" w:customStyle="1" w:styleId="CommentTextChar">
    <w:name w:val="Comment Text Char"/>
    <w:basedOn w:val="DefaultParagraphFont"/>
    <w:link w:val="CommentText"/>
    <w:uiPriority w:val="99"/>
    <w:semiHidden/>
    <w:rsid w:val="006C74DE"/>
    <w:rPr>
      <w:sz w:val="20"/>
      <w:szCs w:val="20"/>
    </w:rPr>
  </w:style>
  <w:style w:type="paragraph" w:styleId="CommentSubject">
    <w:name w:val="annotation subject"/>
    <w:basedOn w:val="CommentText"/>
    <w:next w:val="CommentText"/>
    <w:link w:val="CommentSubjectChar"/>
    <w:uiPriority w:val="99"/>
    <w:semiHidden/>
    <w:unhideWhenUsed/>
    <w:rsid w:val="006C74DE"/>
    <w:rPr>
      <w:b/>
      <w:bCs/>
    </w:rPr>
  </w:style>
  <w:style w:type="character" w:customStyle="1" w:styleId="CommentSubjectChar">
    <w:name w:val="Comment Subject Char"/>
    <w:basedOn w:val="CommentTextChar"/>
    <w:link w:val="CommentSubject"/>
    <w:uiPriority w:val="99"/>
    <w:semiHidden/>
    <w:rsid w:val="006C74DE"/>
    <w:rPr>
      <w:b/>
      <w:bCs/>
      <w:sz w:val="20"/>
      <w:szCs w:val="20"/>
    </w:rPr>
  </w:style>
  <w:style w:type="paragraph" w:styleId="BalloonText">
    <w:name w:val="Balloon Text"/>
    <w:basedOn w:val="Normal"/>
    <w:link w:val="BalloonTextChar"/>
    <w:uiPriority w:val="99"/>
    <w:semiHidden/>
    <w:unhideWhenUsed/>
    <w:rsid w:val="006C7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4DE"/>
    <w:rPr>
      <w:rFonts w:ascii="Segoe UI" w:hAnsi="Segoe UI" w:cs="Segoe UI"/>
      <w:sz w:val="18"/>
      <w:szCs w:val="18"/>
    </w:rPr>
  </w:style>
  <w:style w:type="character" w:customStyle="1" w:styleId="Heading1Char">
    <w:name w:val="Heading 1 Char"/>
    <w:basedOn w:val="DefaultParagraphFont"/>
    <w:link w:val="Heading1"/>
    <w:uiPriority w:val="9"/>
    <w:rsid w:val="006C74D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FF5F39"/>
    <w:rPr>
      <w:color w:val="0000FF"/>
      <w:u w:val="single"/>
    </w:rPr>
  </w:style>
  <w:style w:type="character" w:customStyle="1" w:styleId="Heading2Char">
    <w:name w:val="Heading 2 Char"/>
    <w:basedOn w:val="DefaultParagraphFont"/>
    <w:link w:val="Heading2"/>
    <w:uiPriority w:val="9"/>
    <w:rsid w:val="00341DF9"/>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C213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aboscoc.org/policies-and-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56154-EB6E-48A1-86F7-1740D8BD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Aundrea Braniff</dc:creator>
  <cp:keywords/>
  <dc:description/>
  <cp:lastModifiedBy>Gordon Levine</cp:lastModifiedBy>
  <cp:revision>11</cp:revision>
  <cp:lastPrinted>2019-04-05T18:32:00Z</cp:lastPrinted>
  <dcterms:created xsi:type="dcterms:W3CDTF">2019-04-05T19:04:00Z</dcterms:created>
  <dcterms:modified xsi:type="dcterms:W3CDTF">2019-06-07T14:48:00Z</dcterms:modified>
</cp:coreProperties>
</file>